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FAC" w:rsidRDefault="005B30F9" w:rsidP="006A619F">
      <w:pPr>
        <w:pStyle w:val="Header"/>
        <w:rPr>
          <w:rFonts w:ascii="Arial" w:hAnsi="Arial" w:cs="Arial"/>
        </w:rPr>
      </w:pPr>
      <w:r w:rsidRPr="001B359A">
        <w:rPr>
          <w:rFonts w:ascii="Arial" w:hAnsi="Arial" w:cs="Arial"/>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-247650</wp:posOffset>
            </wp:positionV>
            <wp:extent cx="1800225" cy="683895"/>
            <wp:effectExtent l="0" t="0" r="9525" b="1905"/>
            <wp:wrapSquare wrapText="bothSides"/>
            <wp:docPr id="1" name="Picture 0" descr="Qlx Logo -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lx Logo - Transparent.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00225" cy="683895"/>
                    </a:xfrm>
                    <a:prstGeom prst="rect">
                      <a:avLst/>
                    </a:prstGeom>
                  </pic:spPr>
                </pic:pic>
              </a:graphicData>
            </a:graphic>
          </wp:anchor>
        </w:drawing>
      </w:r>
    </w:p>
    <w:p w:rsidR="00832FAC" w:rsidRPr="00832FAC" w:rsidRDefault="00832FAC" w:rsidP="00832FAC">
      <w:pPr>
        <w:autoSpaceDE w:val="0"/>
        <w:autoSpaceDN w:val="0"/>
        <w:adjustRightInd w:val="0"/>
        <w:spacing w:after="0" w:line="240" w:lineRule="auto"/>
        <w:rPr>
          <w:rFonts w:ascii="Arial" w:hAnsi="Arial" w:cs="Arial"/>
          <w:b/>
          <w:sz w:val="32"/>
          <w:szCs w:val="32"/>
        </w:rPr>
      </w:pPr>
      <w:r>
        <w:rPr>
          <w:rFonts w:ascii="Arial" w:hAnsi="Arial" w:cs="Arial"/>
        </w:rPr>
        <w:tab/>
      </w:r>
      <w:r w:rsidRPr="00832FAC">
        <w:rPr>
          <w:rFonts w:ascii="Arial" w:hAnsi="Arial" w:cs="Arial"/>
          <w:b/>
          <w:sz w:val="32"/>
          <w:szCs w:val="32"/>
        </w:rPr>
        <w:t>Qualex Healthcare Practice</w:t>
      </w:r>
    </w:p>
    <w:p w:rsidR="005B30F9" w:rsidRPr="001B359A" w:rsidRDefault="006A619F" w:rsidP="00832FAC">
      <w:pPr>
        <w:pStyle w:val="Header"/>
        <w:tabs>
          <w:tab w:val="clear" w:pos="4680"/>
          <w:tab w:val="clear" w:pos="9360"/>
          <w:tab w:val="left" w:pos="1140"/>
        </w:tabs>
        <w:rPr>
          <w:rFonts w:ascii="Arial" w:hAnsi="Arial" w:cs="Arial"/>
          <w:color w:val="1F497D" w:themeColor="text2"/>
        </w:rPr>
      </w:pPr>
      <w:r>
        <w:rPr>
          <w:rFonts w:ascii="Arial" w:hAnsi="Arial" w:cs="Arial"/>
        </w:rPr>
        <w:br w:type="textWrapping" w:clear="all"/>
      </w:r>
      <w:r w:rsidR="005D5F6C" w:rsidRPr="005D5F6C">
        <w:rPr>
          <w:noProof/>
        </w:rPr>
        <w:pict>
          <v:shapetype id="_x0000_t32" coordsize="21600,21600" o:spt="32" o:oned="t" path="m,l21600,21600e" filled="f">
            <v:path arrowok="t" fillok="f" o:connecttype="none"/>
            <o:lock v:ext="edit" shapetype="t"/>
          </v:shapetype>
          <v:shape id="AutoShape 1" o:spid="_x0000_s1026" type="#_x0000_t32" style="position:absolute;margin-left:-7.6pt;margin-top:6.2pt;width:488.65pt;height:0;z-index:25166028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"/>
        </w:pict>
      </w:r>
    </w:p>
    <w:p w:rsidR="004520A1" w:rsidRPr="001B359A" w:rsidRDefault="004520A1" w:rsidP="004520A1">
      <w:pPr>
        <w:autoSpaceDE w:val="0"/>
        <w:autoSpaceDN w:val="0"/>
        <w:adjustRightInd w:val="0"/>
        <w:spacing w:after="0" w:line="240" w:lineRule="auto"/>
        <w:rPr>
          <w:rFonts w:ascii="Arial" w:hAnsi="Arial" w:cs="Arial"/>
        </w:rPr>
      </w:pPr>
      <w:r w:rsidRPr="001B359A">
        <w:rPr>
          <w:rFonts w:ascii="Arial" w:hAnsi="Arial" w:cs="Arial"/>
        </w:rPr>
        <w:t xml:space="preserve">Today, healthcare </w:t>
      </w:r>
      <w:r w:rsidR="00F8132C">
        <w:rPr>
          <w:rFonts w:ascii="Arial" w:hAnsi="Arial" w:cs="Arial"/>
        </w:rPr>
        <w:t xml:space="preserve">companies are drowning in data and </w:t>
      </w:r>
      <w:r w:rsidRPr="001B359A">
        <w:rPr>
          <w:rFonts w:ascii="Arial" w:hAnsi="Arial" w:cs="Arial"/>
        </w:rPr>
        <w:t>challenged to gain reliable, actionable insights from this</w:t>
      </w:r>
      <w:r w:rsidR="00F8132C">
        <w:rPr>
          <w:rFonts w:ascii="Arial" w:hAnsi="Arial" w:cs="Arial"/>
        </w:rPr>
        <w:t xml:space="preserve"> data.  Healthcare organization</w:t>
      </w:r>
      <w:r w:rsidRPr="001B359A">
        <w:rPr>
          <w:rFonts w:ascii="Arial" w:hAnsi="Arial" w:cs="Arial"/>
        </w:rPr>
        <w:t>s</w:t>
      </w:r>
      <w:r w:rsidR="00F8132C">
        <w:rPr>
          <w:rFonts w:ascii="Arial" w:hAnsi="Arial" w:cs="Arial"/>
        </w:rPr>
        <w:t>’</w:t>
      </w:r>
      <w:r w:rsidRPr="001B359A">
        <w:rPr>
          <w:rFonts w:ascii="Arial" w:hAnsi="Arial" w:cs="Arial"/>
        </w:rPr>
        <w:t xml:space="preserve"> data today is </w:t>
      </w:r>
      <w:r w:rsidR="00F8132C">
        <w:rPr>
          <w:rFonts w:ascii="Arial" w:hAnsi="Arial" w:cs="Arial"/>
        </w:rPr>
        <w:t xml:space="preserve">often </w:t>
      </w:r>
      <w:r w:rsidRPr="001B359A">
        <w:rPr>
          <w:rFonts w:ascii="Arial" w:hAnsi="Arial" w:cs="Arial"/>
        </w:rPr>
        <w:t xml:space="preserve">unstructured; physician's notes, registration forms, discharge summaries, and patient documents all combine to produce a mishmash of unstructured information chaos. As a result, millions of patient notes and records often sit unavailable in separate clinical data silos. This content contains highly valuable information, but historically there's been no easy way to analyze it. </w:t>
      </w:r>
    </w:p>
    <w:p w:rsidR="004520A1" w:rsidRPr="001B359A" w:rsidRDefault="004520A1" w:rsidP="004520A1">
      <w:pPr>
        <w:autoSpaceDE w:val="0"/>
        <w:autoSpaceDN w:val="0"/>
        <w:adjustRightInd w:val="0"/>
        <w:spacing w:after="0" w:line="240" w:lineRule="auto"/>
        <w:rPr>
          <w:rFonts w:ascii="Arial" w:hAnsi="Arial" w:cs="Arial"/>
        </w:rPr>
      </w:pPr>
    </w:p>
    <w:p w:rsidR="004D1C86" w:rsidRPr="001B359A" w:rsidRDefault="004520A1" w:rsidP="005B30F9">
      <w:pPr>
        <w:autoSpaceDE w:val="0"/>
        <w:autoSpaceDN w:val="0"/>
        <w:adjustRightInd w:val="0"/>
        <w:spacing w:after="0" w:line="240" w:lineRule="auto"/>
        <w:rPr>
          <w:rFonts w:ascii="Arial" w:hAnsi="Arial" w:cs="Arial"/>
        </w:rPr>
      </w:pPr>
      <w:r w:rsidRPr="001B359A">
        <w:rPr>
          <w:rFonts w:ascii="Arial" w:hAnsi="Arial" w:cs="Arial"/>
        </w:rPr>
        <w:t xml:space="preserve">Predictive analytics is changing all of this, but with it comes the question, “Are we putting data to work for us?  </w:t>
      </w:r>
      <w:r w:rsidR="004D1C86" w:rsidRPr="001B359A">
        <w:rPr>
          <w:rFonts w:ascii="Arial" w:hAnsi="Arial" w:cs="Arial"/>
        </w:rPr>
        <w:t>Predictive analytics can help healthcare providers accurately anticipate – and respond to – changes in their patient needs. The ability to make financial, administrative, and clinical decisions based on experience and intuition is enhanced with robust scoring ap</w:t>
      </w:r>
      <w:r w:rsidR="00F8132C">
        <w:rPr>
          <w:rFonts w:ascii="Arial" w:hAnsi="Arial" w:cs="Arial"/>
        </w:rPr>
        <w:t xml:space="preserve">plications that enable precise and </w:t>
      </w:r>
      <w:r w:rsidR="004D1C86" w:rsidRPr="001B359A">
        <w:rPr>
          <w:rFonts w:ascii="Arial" w:hAnsi="Arial" w:cs="Arial"/>
        </w:rPr>
        <w:t>validated predictions.</w:t>
      </w:r>
    </w:p>
    <w:p w:rsidR="005B30F9" w:rsidRPr="001B359A" w:rsidRDefault="005B30F9" w:rsidP="005B30F9">
      <w:pPr>
        <w:autoSpaceDE w:val="0"/>
        <w:autoSpaceDN w:val="0"/>
        <w:adjustRightInd w:val="0"/>
        <w:spacing w:after="0" w:line="240" w:lineRule="auto"/>
        <w:rPr>
          <w:rFonts w:ascii="Arial" w:hAnsi="Arial" w:cs="Arial"/>
        </w:rPr>
      </w:pPr>
    </w:p>
    <w:p w:rsidR="005B30F9" w:rsidRPr="001B359A" w:rsidRDefault="005B30F9" w:rsidP="005B30F9">
      <w:pPr>
        <w:autoSpaceDE w:val="0"/>
        <w:autoSpaceDN w:val="0"/>
        <w:adjustRightInd w:val="0"/>
        <w:spacing w:after="0" w:line="240" w:lineRule="auto"/>
        <w:rPr>
          <w:rFonts w:ascii="Arial" w:hAnsi="Arial" w:cs="Arial"/>
        </w:rPr>
      </w:pPr>
      <w:r w:rsidRPr="001B359A">
        <w:rPr>
          <w:rFonts w:ascii="Arial" w:hAnsi="Arial" w:cs="Arial"/>
        </w:rPr>
        <w:t>Predictive analytics can help in three key areas; Operations management, Medical</w:t>
      </w:r>
    </w:p>
    <w:p w:rsidR="005B30F9" w:rsidRPr="001B359A" w:rsidRDefault="005B30F9" w:rsidP="005B30F9">
      <w:pPr>
        <w:autoSpaceDE w:val="0"/>
        <w:autoSpaceDN w:val="0"/>
        <w:adjustRightInd w:val="0"/>
        <w:spacing w:after="0" w:line="240" w:lineRule="auto"/>
        <w:rPr>
          <w:rFonts w:ascii="Arial" w:hAnsi="Arial" w:cs="Arial"/>
        </w:rPr>
      </w:pPr>
      <w:r w:rsidRPr="001B359A">
        <w:rPr>
          <w:rFonts w:ascii="Arial" w:hAnsi="Arial" w:cs="Arial"/>
        </w:rPr>
        <w:t>management and biomedicine, and System design and planning.</w:t>
      </w:r>
    </w:p>
    <w:p w:rsidR="005B30F9" w:rsidRPr="001B359A" w:rsidRDefault="005B30F9" w:rsidP="00003404">
      <w:pPr>
        <w:autoSpaceDE w:val="0"/>
        <w:autoSpaceDN w:val="0"/>
        <w:adjustRightInd w:val="0"/>
        <w:spacing w:after="0" w:line="240" w:lineRule="auto"/>
        <w:rPr>
          <w:rFonts w:ascii="Arial" w:hAnsi="Arial" w:cs="Arial"/>
        </w:rPr>
      </w:pPr>
    </w:p>
    <w:p w:rsidR="00003404" w:rsidRPr="001B359A" w:rsidRDefault="00003404" w:rsidP="00003404">
      <w:pPr>
        <w:autoSpaceDE w:val="0"/>
        <w:autoSpaceDN w:val="0"/>
        <w:adjustRightInd w:val="0"/>
        <w:spacing w:after="0" w:line="240" w:lineRule="auto"/>
        <w:rPr>
          <w:rFonts w:ascii="Arial" w:hAnsi="Arial" w:cs="Arial"/>
        </w:rPr>
      </w:pPr>
      <w:r w:rsidRPr="001B359A">
        <w:rPr>
          <w:rFonts w:ascii="Arial" w:hAnsi="Arial" w:cs="Arial"/>
        </w:rPr>
        <w:t>Predictive analytics is helping</w:t>
      </w:r>
      <w:r w:rsidR="00DA0D33" w:rsidRPr="001B359A">
        <w:rPr>
          <w:rFonts w:ascii="Arial" w:hAnsi="Arial" w:cs="Arial"/>
        </w:rPr>
        <w:t xml:space="preserve"> </w:t>
      </w:r>
      <w:r w:rsidRPr="001B359A">
        <w:rPr>
          <w:rFonts w:ascii="Arial" w:hAnsi="Arial" w:cs="Arial"/>
        </w:rPr>
        <w:t>make these connections in the following ways:</w:t>
      </w:r>
    </w:p>
    <w:p w:rsidR="005B30F9" w:rsidRPr="001B359A" w:rsidRDefault="005B30F9" w:rsidP="00003404">
      <w:pPr>
        <w:autoSpaceDE w:val="0"/>
        <w:autoSpaceDN w:val="0"/>
        <w:adjustRightInd w:val="0"/>
        <w:spacing w:after="0" w:line="240" w:lineRule="auto"/>
        <w:rPr>
          <w:rFonts w:ascii="Arial" w:hAnsi="Arial" w:cs="Arial"/>
        </w:rPr>
      </w:pPr>
    </w:p>
    <w:p w:rsidR="00003404" w:rsidRPr="001B359A" w:rsidRDefault="00003404" w:rsidP="00003404">
      <w:pPr>
        <w:autoSpaceDE w:val="0"/>
        <w:autoSpaceDN w:val="0"/>
        <w:adjustRightInd w:val="0"/>
        <w:spacing w:after="0" w:line="240" w:lineRule="auto"/>
        <w:rPr>
          <w:rFonts w:ascii="Arial" w:hAnsi="Arial" w:cs="Arial"/>
        </w:rPr>
      </w:pPr>
      <w:r w:rsidRPr="001B359A">
        <w:rPr>
          <w:rFonts w:ascii="Arial" w:hAnsi="Arial" w:cs="Arial"/>
        </w:rPr>
        <w:t xml:space="preserve">• </w:t>
      </w:r>
      <w:r w:rsidRPr="001B359A">
        <w:rPr>
          <w:rFonts w:ascii="Arial" w:hAnsi="Arial" w:cs="Arial"/>
          <w:b/>
          <w:bCs/>
        </w:rPr>
        <w:t xml:space="preserve">Disease management – </w:t>
      </w:r>
      <w:r w:rsidRPr="001B359A">
        <w:rPr>
          <w:rFonts w:ascii="Arial" w:hAnsi="Arial" w:cs="Arial"/>
        </w:rPr>
        <w:t xml:space="preserve">this can be used to drive a predictive </w:t>
      </w:r>
      <w:r w:rsidR="00DA0D33" w:rsidRPr="001B359A">
        <w:rPr>
          <w:rFonts w:ascii="Arial" w:hAnsi="Arial" w:cs="Arial"/>
        </w:rPr>
        <w:t xml:space="preserve">risk of cost for each member in </w:t>
      </w:r>
      <w:r w:rsidRPr="001B359A">
        <w:rPr>
          <w:rFonts w:ascii="Arial" w:hAnsi="Arial" w:cs="Arial"/>
        </w:rPr>
        <w:t>a</w:t>
      </w:r>
      <w:r w:rsidR="00DA0D33" w:rsidRPr="001B359A">
        <w:rPr>
          <w:rFonts w:ascii="Arial" w:hAnsi="Arial" w:cs="Arial"/>
        </w:rPr>
        <w:t xml:space="preserve"> </w:t>
      </w:r>
      <w:r w:rsidRPr="001B359A">
        <w:rPr>
          <w:rFonts w:ascii="Arial" w:hAnsi="Arial" w:cs="Arial"/>
        </w:rPr>
        <w:t>healthcare plan by asking such questions as, “How probable is it that this person will be high risk, high</w:t>
      </w:r>
      <w:r w:rsidR="00DA0D33" w:rsidRPr="001B359A">
        <w:rPr>
          <w:rFonts w:ascii="Arial" w:hAnsi="Arial" w:cs="Arial"/>
        </w:rPr>
        <w:t xml:space="preserve"> </w:t>
      </w:r>
      <w:r w:rsidRPr="001B359A">
        <w:rPr>
          <w:rFonts w:ascii="Arial" w:hAnsi="Arial" w:cs="Arial"/>
        </w:rPr>
        <w:t>cost?”</w:t>
      </w:r>
    </w:p>
    <w:p w:rsidR="00003404" w:rsidRPr="001B359A" w:rsidRDefault="00003404" w:rsidP="00003404">
      <w:pPr>
        <w:autoSpaceDE w:val="0"/>
        <w:autoSpaceDN w:val="0"/>
        <w:adjustRightInd w:val="0"/>
        <w:spacing w:after="0" w:line="240" w:lineRule="auto"/>
        <w:rPr>
          <w:rFonts w:ascii="Arial" w:hAnsi="Arial" w:cs="Arial"/>
        </w:rPr>
      </w:pPr>
      <w:r w:rsidRPr="001B359A">
        <w:rPr>
          <w:rFonts w:ascii="Arial" w:hAnsi="Arial" w:cs="Arial"/>
        </w:rPr>
        <w:t xml:space="preserve">• </w:t>
      </w:r>
      <w:r w:rsidRPr="001B359A">
        <w:rPr>
          <w:rFonts w:ascii="Arial" w:hAnsi="Arial" w:cs="Arial"/>
          <w:b/>
          <w:bCs/>
        </w:rPr>
        <w:t xml:space="preserve">Enhancing patient care </w:t>
      </w:r>
      <w:r w:rsidRPr="001B359A">
        <w:rPr>
          <w:rFonts w:ascii="Arial" w:hAnsi="Arial" w:cs="Arial"/>
        </w:rPr>
        <w:t>– healthcare facilities can take a more proactive approach to treatment. For</w:t>
      </w:r>
      <w:r w:rsidR="00DA0D33" w:rsidRPr="001B359A">
        <w:rPr>
          <w:rFonts w:ascii="Arial" w:hAnsi="Arial" w:cs="Arial"/>
        </w:rPr>
        <w:t xml:space="preserve"> </w:t>
      </w:r>
      <w:r w:rsidRPr="001B359A">
        <w:rPr>
          <w:rFonts w:ascii="Arial" w:hAnsi="Arial" w:cs="Arial"/>
        </w:rPr>
        <w:t>example, by more precisely predicting which patients will develop chronic conditions, or which ones</w:t>
      </w:r>
      <w:r w:rsidR="00DA0D33" w:rsidRPr="001B359A">
        <w:rPr>
          <w:rFonts w:ascii="Arial" w:hAnsi="Arial" w:cs="Arial"/>
        </w:rPr>
        <w:t xml:space="preserve"> </w:t>
      </w:r>
      <w:r w:rsidRPr="001B359A">
        <w:rPr>
          <w:rFonts w:ascii="Arial" w:hAnsi="Arial" w:cs="Arial"/>
        </w:rPr>
        <w:t>will respond best to certain types of medications or therapies, healthcare organizations can focus not</w:t>
      </w:r>
      <w:r w:rsidR="00DA0D33" w:rsidRPr="001B359A">
        <w:rPr>
          <w:rFonts w:ascii="Arial" w:hAnsi="Arial" w:cs="Arial"/>
        </w:rPr>
        <w:t xml:space="preserve"> </w:t>
      </w:r>
      <w:r w:rsidRPr="001B359A">
        <w:rPr>
          <w:rFonts w:ascii="Arial" w:hAnsi="Arial" w:cs="Arial"/>
        </w:rPr>
        <w:t>only on treating existing conditions, but also on preventing recurrences.</w:t>
      </w:r>
    </w:p>
    <w:p w:rsidR="00003404" w:rsidRPr="001B359A" w:rsidRDefault="00003404" w:rsidP="00003404">
      <w:pPr>
        <w:autoSpaceDE w:val="0"/>
        <w:autoSpaceDN w:val="0"/>
        <w:adjustRightInd w:val="0"/>
        <w:spacing w:after="0" w:line="240" w:lineRule="auto"/>
        <w:rPr>
          <w:rFonts w:ascii="Arial" w:hAnsi="Arial" w:cs="Arial"/>
        </w:rPr>
      </w:pPr>
      <w:r w:rsidRPr="001B359A">
        <w:rPr>
          <w:rFonts w:ascii="Arial" w:hAnsi="Arial" w:cs="Arial"/>
        </w:rPr>
        <w:t xml:space="preserve">• </w:t>
      </w:r>
      <w:r w:rsidRPr="001B359A">
        <w:rPr>
          <w:rFonts w:ascii="Arial" w:hAnsi="Arial" w:cs="Arial"/>
          <w:b/>
          <w:bCs/>
        </w:rPr>
        <w:t xml:space="preserve">Optimizing resource utilization </w:t>
      </w:r>
      <w:r w:rsidRPr="001B359A">
        <w:rPr>
          <w:rFonts w:ascii="Arial" w:hAnsi="Arial" w:cs="Arial"/>
        </w:rPr>
        <w:t>–</w:t>
      </w:r>
      <w:r w:rsidR="004520A1" w:rsidRPr="001B359A">
        <w:rPr>
          <w:rFonts w:ascii="Arial" w:hAnsi="Arial" w:cs="Arial"/>
        </w:rPr>
        <w:t xml:space="preserve"> patterns and trends, </w:t>
      </w:r>
      <w:r w:rsidRPr="001B359A">
        <w:rPr>
          <w:rFonts w:ascii="Arial" w:hAnsi="Arial" w:cs="Arial"/>
        </w:rPr>
        <w:t>patient admissions, bed utilization, length of</w:t>
      </w:r>
      <w:r w:rsidR="00DA0D33" w:rsidRPr="001B359A">
        <w:rPr>
          <w:rFonts w:ascii="Arial" w:hAnsi="Arial" w:cs="Arial"/>
        </w:rPr>
        <w:t xml:space="preserve"> </w:t>
      </w:r>
      <w:r w:rsidRPr="001B359A">
        <w:rPr>
          <w:rFonts w:ascii="Arial" w:hAnsi="Arial" w:cs="Arial"/>
        </w:rPr>
        <w:t>stay, and other metrics can be analyzed and used to predict future volumes – particularly when peaks</w:t>
      </w:r>
      <w:r w:rsidR="00DA0D33" w:rsidRPr="001B359A">
        <w:rPr>
          <w:rFonts w:ascii="Arial" w:hAnsi="Arial" w:cs="Arial"/>
        </w:rPr>
        <w:t xml:space="preserve"> </w:t>
      </w:r>
      <w:r w:rsidRPr="001B359A">
        <w:rPr>
          <w:rFonts w:ascii="Arial" w:hAnsi="Arial" w:cs="Arial"/>
        </w:rPr>
        <w:t>may occur. Hospitals can be more prepared and ensure there are enough resources on hand to provide</w:t>
      </w:r>
      <w:r w:rsidR="00DA0D33" w:rsidRPr="001B359A">
        <w:rPr>
          <w:rFonts w:ascii="Arial" w:hAnsi="Arial" w:cs="Arial"/>
        </w:rPr>
        <w:t xml:space="preserve"> </w:t>
      </w:r>
      <w:r w:rsidRPr="001B359A">
        <w:rPr>
          <w:rFonts w:ascii="Arial" w:hAnsi="Arial" w:cs="Arial"/>
        </w:rPr>
        <w:t>superior care, thereby better allocating nurses, clinicians, diagnostic machinery, and other resources.</w:t>
      </w:r>
    </w:p>
    <w:p w:rsidR="001C5073" w:rsidRDefault="00003404" w:rsidP="00003404">
      <w:pPr>
        <w:autoSpaceDE w:val="0"/>
        <w:autoSpaceDN w:val="0"/>
        <w:adjustRightInd w:val="0"/>
        <w:spacing w:after="0" w:line="240" w:lineRule="auto"/>
        <w:rPr>
          <w:rFonts w:ascii="Arial" w:hAnsi="Arial" w:cs="Arial"/>
        </w:rPr>
      </w:pPr>
      <w:r w:rsidRPr="001B359A">
        <w:rPr>
          <w:rFonts w:ascii="Arial" w:hAnsi="Arial" w:cs="Arial"/>
        </w:rPr>
        <w:t xml:space="preserve">• </w:t>
      </w:r>
      <w:r w:rsidRPr="001B359A">
        <w:rPr>
          <w:rFonts w:ascii="Arial" w:hAnsi="Arial" w:cs="Arial"/>
          <w:b/>
          <w:bCs/>
        </w:rPr>
        <w:t xml:space="preserve">Fraud detection </w:t>
      </w:r>
      <w:r w:rsidRPr="001B359A">
        <w:rPr>
          <w:rFonts w:ascii="Arial" w:hAnsi="Arial" w:cs="Arial"/>
        </w:rPr>
        <w:t>– predictive analytics can help healthcare professionals determine claims that need</w:t>
      </w:r>
      <w:r w:rsidR="00DA0D33" w:rsidRPr="001B359A">
        <w:rPr>
          <w:rFonts w:ascii="Arial" w:hAnsi="Arial" w:cs="Arial"/>
        </w:rPr>
        <w:t xml:space="preserve"> </w:t>
      </w:r>
      <w:r w:rsidRPr="001B359A">
        <w:rPr>
          <w:rFonts w:ascii="Arial" w:hAnsi="Arial" w:cs="Arial"/>
        </w:rPr>
        <w:t>additional review for fraud by increasing the likelihood of discovering fraudulent claims.</w:t>
      </w:r>
    </w:p>
    <w:p w:rsidR="00003404" w:rsidRPr="001B359A" w:rsidRDefault="00003404" w:rsidP="00003404">
      <w:pPr>
        <w:autoSpaceDE w:val="0"/>
        <w:autoSpaceDN w:val="0"/>
        <w:adjustRightInd w:val="0"/>
        <w:spacing w:after="0" w:line="240" w:lineRule="auto"/>
        <w:rPr>
          <w:rFonts w:ascii="Arial" w:hAnsi="Arial" w:cs="Arial"/>
        </w:rPr>
      </w:pPr>
      <w:r w:rsidRPr="001B359A">
        <w:rPr>
          <w:rFonts w:ascii="Arial" w:hAnsi="Arial" w:cs="Arial"/>
        </w:rPr>
        <w:t xml:space="preserve">• </w:t>
      </w:r>
      <w:r w:rsidRPr="001B359A">
        <w:rPr>
          <w:rFonts w:ascii="Arial" w:hAnsi="Arial" w:cs="Arial"/>
          <w:b/>
          <w:bCs/>
        </w:rPr>
        <w:t xml:space="preserve">Improving clinical outcomes </w:t>
      </w:r>
      <w:r w:rsidRPr="001B359A">
        <w:rPr>
          <w:rFonts w:ascii="Arial" w:hAnsi="Arial" w:cs="Arial"/>
        </w:rPr>
        <w:t>– health care organizations can pull clinical data from large amounts of</w:t>
      </w:r>
      <w:r w:rsidR="00DA0D33" w:rsidRPr="001B359A">
        <w:rPr>
          <w:rFonts w:ascii="Arial" w:hAnsi="Arial" w:cs="Arial"/>
        </w:rPr>
        <w:t xml:space="preserve"> </w:t>
      </w:r>
      <w:r w:rsidRPr="001B359A">
        <w:rPr>
          <w:rFonts w:ascii="Arial" w:hAnsi="Arial" w:cs="Arial"/>
        </w:rPr>
        <w:t>patient information to understand patient histories and predict future outcomes. By closely analyzing</w:t>
      </w:r>
      <w:r w:rsidR="00DA0D33" w:rsidRPr="001B359A">
        <w:rPr>
          <w:rFonts w:ascii="Arial" w:hAnsi="Arial" w:cs="Arial"/>
        </w:rPr>
        <w:t xml:space="preserve"> </w:t>
      </w:r>
      <w:r w:rsidRPr="001B359A">
        <w:rPr>
          <w:rFonts w:ascii="Arial" w:hAnsi="Arial" w:cs="Arial"/>
        </w:rPr>
        <w:t>which treatments work best, providers can make more intelligent decisions about treatment plans,</w:t>
      </w:r>
      <w:r w:rsidR="00DA0D33" w:rsidRPr="001B359A">
        <w:rPr>
          <w:rFonts w:ascii="Arial" w:hAnsi="Arial" w:cs="Arial"/>
        </w:rPr>
        <w:t xml:space="preserve"> </w:t>
      </w:r>
      <w:r w:rsidRPr="001B359A">
        <w:rPr>
          <w:rFonts w:ascii="Arial" w:hAnsi="Arial" w:cs="Arial"/>
        </w:rPr>
        <w:t>minimizing complications and patient readmissions.</w:t>
      </w:r>
    </w:p>
    <w:p w:rsidR="00C80732" w:rsidRDefault="00003404" w:rsidP="000617B5">
      <w:pPr>
        <w:autoSpaceDE w:val="0"/>
        <w:autoSpaceDN w:val="0"/>
        <w:adjustRightInd w:val="0"/>
        <w:spacing w:after="0" w:line="240" w:lineRule="auto"/>
        <w:rPr>
          <w:rFonts w:ascii="Arial" w:hAnsi="Arial" w:cs="Arial"/>
        </w:rPr>
      </w:pPr>
      <w:r w:rsidRPr="001B359A">
        <w:rPr>
          <w:rFonts w:ascii="Arial" w:hAnsi="Arial" w:cs="Arial"/>
        </w:rPr>
        <w:t xml:space="preserve">• </w:t>
      </w:r>
      <w:r w:rsidRPr="001B359A">
        <w:rPr>
          <w:rFonts w:ascii="Arial" w:hAnsi="Arial" w:cs="Arial"/>
          <w:b/>
          <w:bCs/>
        </w:rPr>
        <w:t xml:space="preserve">Increasing income and revenue </w:t>
      </w:r>
      <w:r w:rsidRPr="001B359A">
        <w:rPr>
          <w:rFonts w:ascii="Arial" w:hAnsi="Arial" w:cs="Arial"/>
        </w:rPr>
        <w:t>– identify opportunities to collect missing income, including claims</w:t>
      </w:r>
      <w:r w:rsidR="00DA0D33" w:rsidRPr="001B359A">
        <w:rPr>
          <w:rFonts w:ascii="Arial" w:hAnsi="Arial" w:cs="Arial"/>
        </w:rPr>
        <w:t xml:space="preserve"> </w:t>
      </w:r>
      <w:r w:rsidRPr="001B359A">
        <w:rPr>
          <w:rFonts w:ascii="Arial" w:hAnsi="Arial" w:cs="Arial"/>
        </w:rPr>
        <w:t>that are wrongfully rejected by payers or overdue monies from patients.</w:t>
      </w:r>
    </w:p>
    <w:p w:rsidR="000617B5" w:rsidRPr="001B359A" w:rsidRDefault="000617B5" w:rsidP="000617B5">
      <w:pPr>
        <w:autoSpaceDE w:val="0"/>
        <w:autoSpaceDN w:val="0"/>
        <w:adjustRightInd w:val="0"/>
        <w:spacing w:after="0" w:line="240" w:lineRule="auto"/>
        <w:rPr>
          <w:rFonts w:ascii="Arial" w:hAnsi="Arial" w:cs="Arial"/>
        </w:rPr>
      </w:pPr>
    </w:p>
    <w:p w:rsidR="00D16F05" w:rsidRPr="001B359A" w:rsidRDefault="00334AEA" w:rsidP="00334AEA">
      <w:pPr>
        <w:autoSpaceDE w:val="0"/>
        <w:autoSpaceDN w:val="0"/>
        <w:adjustRightInd w:val="0"/>
        <w:spacing w:after="0" w:line="240" w:lineRule="auto"/>
        <w:rPr>
          <w:rFonts w:ascii="Arial" w:hAnsi="Arial" w:cs="Arial"/>
        </w:rPr>
      </w:pPr>
      <w:r>
        <w:rPr>
          <w:rFonts w:ascii="Arial" w:hAnsi="Arial" w:cs="Arial"/>
          <w:b/>
        </w:rPr>
        <w:t>S</w:t>
      </w:r>
      <w:r w:rsidR="00D16F05" w:rsidRPr="001B359A">
        <w:rPr>
          <w:rFonts w:ascii="Arial" w:hAnsi="Arial" w:cs="Arial"/>
          <w:b/>
        </w:rPr>
        <w:t>ome of our clients include</w:t>
      </w:r>
      <w:r w:rsidR="0084593F">
        <w:rPr>
          <w:rFonts w:ascii="Arial" w:hAnsi="Arial" w:cs="Arial"/>
          <w:b/>
        </w:rPr>
        <w:t>:</w:t>
      </w:r>
      <w:r w:rsidR="00306F7C">
        <w:rPr>
          <w:rFonts w:ascii="Arial" w:hAnsi="Arial" w:cs="Arial"/>
          <w:noProof/>
        </w:rPr>
        <w:drawing>
          <wp:inline distT="0" distB="0" distL="0" distR="0">
            <wp:extent cx="5705475" cy="8382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05475" cy="838200"/>
                    </a:xfrm>
                    <a:prstGeom prst="rect">
                      <a:avLst/>
                    </a:prstGeom>
                    <a:noFill/>
                    <a:ln>
                      <a:noFill/>
                    </a:ln>
                  </pic:spPr>
                </pic:pic>
              </a:graphicData>
            </a:graphic>
          </wp:inline>
        </w:drawing>
      </w:r>
    </w:p>
    <w:p w:rsidR="00334AEA" w:rsidRDefault="00334AEA" w:rsidP="00334AEA">
      <w:pPr>
        <w:autoSpaceDE w:val="0"/>
        <w:autoSpaceDN w:val="0"/>
        <w:adjustRightInd w:val="0"/>
        <w:spacing w:after="0" w:line="240" w:lineRule="auto"/>
        <w:rPr>
          <w:rFonts w:ascii="Arial" w:hAnsi="Arial" w:cs="Arial"/>
        </w:rPr>
      </w:pPr>
      <w:r w:rsidRPr="001B359A">
        <w:rPr>
          <w:rFonts w:ascii="Arial" w:hAnsi="Arial" w:cs="Arial"/>
        </w:rPr>
        <w:t>The bottom line is healthcare predictive analytics can help healthcare organizations get to know their patients better, so that they can understand their individual patient's needs, while delivering quality, cost effective services that could be, literally, life saving. Consistent, complete, and accurate results can be used to make better decisions about tomorrow, resulting in higher profits, reduced costs, improved quality of care and maximum ROI.</w:t>
      </w:r>
      <w:bookmarkStart w:id="0" w:name="_GoBack"/>
      <w:bookmarkEnd w:id="0"/>
    </w:p>
    <w:p w:rsidR="004C7D4C" w:rsidRDefault="004C7D4C" w:rsidP="00D16F05">
      <w:pPr>
        <w:spacing w:after="0" w:line="240" w:lineRule="auto"/>
        <w:ind w:left="1980"/>
        <w:rPr>
          <w:rFonts w:ascii="Arial" w:eastAsia="Times New Roman" w:hAnsi="Arial" w:cs="Arial"/>
          <w:b/>
        </w:rPr>
      </w:pPr>
    </w:p>
    <w:p w:rsidR="00D16F05" w:rsidRDefault="00D16F05" w:rsidP="00D16F05">
      <w:pPr>
        <w:spacing w:after="0" w:line="240" w:lineRule="auto"/>
        <w:ind w:left="1980"/>
        <w:rPr>
          <w:rFonts w:ascii="Arial" w:eastAsia="Times New Roman" w:hAnsi="Arial" w:cs="Arial"/>
          <w:b/>
        </w:rPr>
      </w:pPr>
      <w:r w:rsidRPr="001B359A">
        <w:rPr>
          <w:rFonts w:ascii="Arial" w:eastAsia="Times New Roman" w:hAnsi="Arial" w:cs="Arial"/>
          <w:b/>
        </w:rPr>
        <w:t>Qualex helped these clients on the following tasks:</w:t>
      </w:r>
    </w:p>
    <w:p w:rsidR="004C7D4C" w:rsidRDefault="004C7D4C" w:rsidP="00D16F05">
      <w:pPr>
        <w:spacing w:after="0" w:line="240" w:lineRule="auto"/>
        <w:ind w:left="1980"/>
        <w:rPr>
          <w:rFonts w:ascii="Arial" w:eastAsia="Times New Roman" w:hAnsi="Arial" w:cs="Arial"/>
          <w:b/>
        </w:rPr>
      </w:pPr>
    </w:p>
    <w:p w:rsidR="004C7D4C" w:rsidRPr="004C7D4C" w:rsidRDefault="004C7D4C" w:rsidP="004C7D4C">
      <w:pPr>
        <w:pStyle w:val="ListParagraph"/>
        <w:numPr>
          <w:ilvl w:val="0"/>
          <w:numId w:val="4"/>
        </w:numPr>
        <w:spacing w:after="0"/>
        <w:rPr>
          <w:rFonts w:ascii="Arial" w:hAnsi="Arial" w:cs="Arial"/>
          <w:sz w:val="22"/>
          <w:szCs w:val="22"/>
        </w:rPr>
      </w:pPr>
      <w:r w:rsidRPr="004C7D4C">
        <w:rPr>
          <w:rFonts w:ascii="Arial" w:hAnsi="Arial" w:cs="Arial"/>
          <w:sz w:val="22"/>
          <w:szCs w:val="22"/>
        </w:rPr>
        <w:t xml:space="preserve">Reduce variability in the delivery processes </w:t>
      </w:r>
    </w:p>
    <w:p w:rsidR="004C7D4C" w:rsidRPr="004C7D4C" w:rsidRDefault="004C7D4C" w:rsidP="004C7D4C">
      <w:pPr>
        <w:pStyle w:val="ListParagraph"/>
        <w:numPr>
          <w:ilvl w:val="0"/>
          <w:numId w:val="4"/>
        </w:numPr>
        <w:spacing w:after="0"/>
        <w:rPr>
          <w:rFonts w:ascii="Arial" w:hAnsi="Arial" w:cs="Arial"/>
          <w:sz w:val="22"/>
          <w:szCs w:val="22"/>
        </w:rPr>
      </w:pPr>
      <w:r w:rsidRPr="004C7D4C">
        <w:rPr>
          <w:rFonts w:ascii="Arial" w:hAnsi="Arial" w:cs="Arial"/>
          <w:sz w:val="22"/>
          <w:szCs w:val="22"/>
        </w:rPr>
        <w:t>Improve efficiency and effectiveness in the delivery of clinical, ancillary and administrative services through process analyses</w:t>
      </w:r>
    </w:p>
    <w:p w:rsidR="004C7D4C" w:rsidRPr="004C7D4C" w:rsidRDefault="004C7D4C" w:rsidP="004C7D4C">
      <w:pPr>
        <w:pStyle w:val="ListParagraph"/>
        <w:numPr>
          <w:ilvl w:val="0"/>
          <w:numId w:val="4"/>
        </w:numPr>
        <w:spacing w:after="0"/>
        <w:rPr>
          <w:rFonts w:ascii="Arial" w:hAnsi="Arial" w:cs="Arial"/>
          <w:sz w:val="22"/>
          <w:szCs w:val="22"/>
        </w:rPr>
      </w:pPr>
      <w:r w:rsidRPr="004C7D4C">
        <w:rPr>
          <w:rFonts w:ascii="Arial" w:hAnsi="Arial" w:cs="Arial"/>
          <w:sz w:val="22"/>
          <w:szCs w:val="22"/>
        </w:rPr>
        <w:t>Assist in the structuring and support of medical decisions</w:t>
      </w:r>
    </w:p>
    <w:p w:rsidR="004C7D4C" w:rsidRPr="004C7D4C" w:rsidRDefault="004C7D4C" w:rsidP="004C7D4C">
      <w:pPr>
        <w:pStyle w:val="ListParagraph"/>
        <w:numPr>
          <w:ilvl w:val="0"/>
          <w:numId w:val="4"/>
        </w:numPr>
        <w:spacing w:after="0"/>
        <w:rPr>
          <w:rFonts w:ascii="Arial" w:hAnsi="Arial" w:cs="Arial"/>
          <w:sz w:val="22"/>
          <w:szCs w:val="22"/>
        </w:rPr>
      </w:pPr>
      <w:r w:rsidRPr="004C7D4C">
        <w:rPr>
          <w:rFonts w:ascii="Arial" w:hAnsi="Arial" w:cs="Arial"/>
          <w:sz w:val="22"/>
          <w:szCs w:val="22"/>
        </w:rPr>
        <w:t>Improve the performance of diagnosis, testing, and treatment strategies</w:t>
      </w:r>
    </w:p>
    <w:p w:rsidR="004C7D4C" w:rsidRPr="004C7D4C" w:rsidRDefault="004C7D4C" w:rsidP="004C7D4C">
      <w:pPr>
        <w:pStyle w:val="ListParagraph"/>
        <w:numPr>
          <w:ilvl w:val="0"/>
          <w:numId w:val="4"/>
        </w:numPr>
        <w:spacing w:after="0"/>
        <w:rPr>
          <w:rFonts w:ascii="Arial" w:hAnsi="Arial" w:cs="Arial"/>
          <w:sz w:val="22"/>
          <w:szCs w:val="22"/>
        </w:rPr>
      </w:pPr>
      <w:r w:rsidRPr="004C7D4C">
        <w:rPr>
          <w:rFonts w:ascii="Arial" w:hAnsi="Arial" w:cs="Arial"/>
          <w:sz w:val="22"/>
          <w:szCs w:val="22"/>
        </w:rPr>
        <w:t>Facilitate decision-making on services and technology to be provided</w:t>
      </w:r>
    </w:p>
    <w:p w:rsidR="004C7D4C" w:rsidRDefault="004C7D4C" w:rsidP="004C7D4C">
      <w:pPr>
        <w:pStyle w:val="ListParagraph"/>
        <w:numPr>
          <w:ilvl w:val="0"/>
          <w:numId w:val="4"/>
        </w:numPr>
        <w:spacing w:after="0"/>
        <w:rPr>
          <w:rFonts w:ascii="Arial" w:hAnsi="Arial" w:cs="Arial"/>
          <w:sz w:val="22"/>
          <w:szCs w:val="22"/>
        </w:rPr>
      </w:pPr>
      <w:r w:rsidRPr="004C7D4C">
        <w:rPr>
          <w:rFonts w:ascii="Arial" w:hAnsi="Arial" w:cs="Arial"/>
          <w:sz w:val="22"/>
          <w:szCs w:val="22"/>
        </w:rPr>
        <w:t>Forecast and planning for resources and capacity</w:t>
      </w:r>
    </w:p>
    <w:p w:rsidR="00F8132C" w:rsidRDefault="00F8132C" w:rsidP="004C7D4C">
      <w:pPr>
        <w:pStyle w:val="ListParagraph"/>
        <w:numPr>
          <w:ilvl w:val="0"/>
          <w:numId w:val="4"/>
        </w:numPr>
        <w:spacing w:after="0"/>
        <w:rPr>
          <w:rFonts w:ascii="Arial" w:hAnsi="Arial" w:cs="Arial"/>
          <w:sz w:val="22"/>
          <w:szCs w:val="22"/>
        </w:rPr>
      </w:pPr>
      <w:r>
        <w:rPr>
          <w:rFonts w:ascii="Arial" w:hAnsi="Arial" w:cs="Arial"/>
          <w:sz w:val="22"/>
          <w:szCs w:val="22"/>
        </w:rPr>
        <w:t>Actuarial studies</w:t>
      </w:r>
    </w:p>
    <w:p w:rsidR="00F8132C" w:rsidRPr="004C7D4C" w:rsidRDefault="00F8132C" w:rsidP="004C7D4C">
      <w:pPr>
        <w:pStyle w:val="ListParagraph"/>
        <w:numPr>
          <w:ilvl w:val="0"/>
          <w:numId w:val="4"/>
        </w:numPr>
        <w:spacing w:after="0"/>
        <w:rPr>
          <w:rFonts w:ascii="Arial" w:hAnsi="Arial" w:cs="Arial"/>
          <w:sz w:val="22"/>
          <w:szCs w:val="22"/>
        </w:rPr>
      </w:pPr>
      <w:r>
        <w:rPr>
          <w:rFonts w:ascii="Arial" w:hAnsi="Arial" w:cs="Arial"/>
          <w:sz w:val="22"/>
          <w:szCs w:val="22"/>
        </w:rPr>
        <w:t>Data governance</w:t>
      </w:r>
    </w:p>
    <w:p w:rsidR="004C7D4C" w:rsidRDefault="004C7D4C" w:rsidP="004C7D4C">
      <w:pPr>
        <w:pStyle w:val="ListParagraph"/>
        <w:spacing w:after="0"/>
        <w:ind w:left="810"/>
        <w:rPr>
          <w:rFonts w:ascii="Arial" w:hAnsi="Arial" w:cs="Arial"/>
          <w:sz w:val="22"/>
          <w:szCs w:val="22"/>
        </w:rPr>
      </w:pPr>
    </w:p>
    <w:p w:rsidR="001C5DFE" w:rsidRDefault="001C5DFE" w:rsidP="001C5DFE">
      <w:pPr>
        <w:pStyle w:val="ListParagraph"/>
        <w:spacing w:after="0"/>
        <w:ind w:left="90" w:firstLine="720"/>
        <w:rPr>
          <w:rFonts w:ascii="Arial" w:hAnsi="Arial" w:cs="Arial"/>
          <w:sz w:val="22"/>
          <w:szCs w:val="22"/>
        </w:rPr>
      </w:pPr>
    </w:p>
    <w:p w:rsidR="001C5DFE" w:rsidRPr="00F9193B" w:rsidRDefault="001C5DFE" w:rsidP="001C5DFE">
      <w:pPr>
        <w:spacing w:after="0" w:line="240" w:lineRule="auto"/>
        <w:textAlignment w:val="baseline"/>
        <w:outlineLvl w:val="1"/>
        <w:rPr>
          <w:rFonts w:ascii="Arial" w:eastAsia="Times New Roman" w:hAnsi="Arial" w:cs="Arial"/>
          <w:b/>
          <w:bCs/>
          <w:spacing w:val="-15"/>
        </w:rPr>
      </w:pPr>
      <w:r w:rsidRPr="00F9193B">
        <w:rPr>
          <w:rFonts w:ascii="Arial" w:eastAsia="Times New Roman" w:hAnsi="Arial" w:cs="Arial"/>
          <w:b/>
          <w:bCs/>
          <w:spacing w:val="-15"/>
        </w:rPr>
        <w:t>Service Commitment</w:t>
      </w:r>
    </w:p>
    <w:p w:rsidR="001C5DFE" w:rsidRPr="00F9193B" w:rsidRDefault="001C5DFE" w:rsidP="001C5DFE">
      <w:pPr>
        <w:spacing w:after="0" w:line="240" w:lineRule="auto"/>
        <w:textAlignment w:val="baseline"/>
        <w:outlineLvl w:val="1"/>
        <w:rPr>
          <w:rFonts w:ascii="Arial" w:eastAsia="Times New Roman" w:hAnsi="Arial" w:cs="Arial"/>
          <w:b/>
          <w:bCs/>
          <w:spacing w:val="-15"/>
        </w:rPr>
      </w:pPr>
    </w:p>
    <w:p w:rsidR="001C5DFE" w:rsidRPr="004C7D4C" w:rsidRDefault="001C5DFE" w:rsidP="001C5DFE">
      <w:pPr>
        <w:spacing w:after="0" w:line="240" w:lineRule="auto"/>
        <w:jc w:val="both"/>
        <w:textAlignment w:val="baseline"/>
        <w:rPr>
          <w:rFonts w:ascii="Arial" w:eastAsia="Times New Roman" w:hAnsi="Arial" w:cs="Arial"/>
        </w:rPr>
      </w:pPr>
      <w:r w:rsidRPr="00F9193B">
        <w:rPr>
          <w:rFonts w:ascii="Arial" w:eastAsia="Times New Roman" w:hAnsi="Arial" w:cs="Arial"/>
        </w:rPr>
        <w:t>Once an issue concerning the use of software is reported, Qualex agrees to assign a resource to verify the issue. In critical issues (High), this resource will be assigned within specific pre-determine business hours and for regular issues (Low and Medium), the resource will be assigned within one b</w:t>
      </w:r>
      <w:r w:rsidR="0020554B">
        <w:rPr>
          <w:rFonts w:ascii="Arial" w:eastAsia="Times New Roman" w:hAnsi="Arial" w:cs="Arial"/>
        </w:rPr>
        <w:t>usiness day</w:t>
      </w:r>
      <w:r w:rsidRPr="00F9193B">
        <w:rPr>
          <w:rFonts w:ascii="Arial" w:eastAsia="Times New Roman" w:hAnsi="Arial" w:cs="Arial"/>
        </w:rPr>
        <w:t>.</w:t>
      </w:r>
    </w:p>
    <w:sectPr w:rsidR="001C5DFE" w:rsidRPr="004C7D4C" w:rsidSect="00306F7C">
      <w:footerReference w:type="default" r:id="rId10"/>
      <w:pgSz w:w="12240" w:h="15840"/>
      <w:pgMar w:top="720" w:right="720" w:bottom="720" w:left="720" w:header="288"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660" w:rsidRDefault="002E5660" w:rsidP="001C5073">
      <w:pPr>
        <w:spacing w:after="0" w:line="240" w:lineRule="auto"/>
      </w:pPr>
      <w:r>
        <w:separator/>
      </w:r>
    </w:p>
  </w:endnote>
  <w:endnote w:type="continuationSeparator" w:id="0">
    <w:p w:rsidR="002E5660" w:rsidRDefault="002E5660" w:rsidP="001C50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85D" w:rsidRDefault="005D5F6C" w:rsidP="001C5073">
    <w:pPr>
      <w:pStyle w:val="Footer"/>
    </w:pPr>
    <w:r>
      <w:rPr>
        <w:noProof/>
      </w:rPr>
      <w:pict>
        <v:shapetype id="_x0000_t32" coordsize="21600,21600" o:spt="32" o:oned="t" path="m,l21600,21600e" filled="f">
          <v:path arrowok="t" fillok="f" o:connecttype="none"/>
          <o:lock v:ext="edit" shapetype="t"/>
        </v:shapetype>
        <v:shape id="AutoShape 3" o:spid="_x0000_s4097" type="#_x0000_t32" style="position:absolute;margin-left:4.4pt;margin-top:21.55pt;width:488.65pt;height:0;z-index:25165926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"/>
      </w:pict>
    </w:r>
  </w:p>
  <w:p w:rsidR="00E4785D" w:rsidRDefault="00E4785D" w:rsidP="001C5073">
    <w:pPr>
      <w:pStyle w:val="Footer"/>
    </w:pPr>
  </w:p>
  <w:p w:rsidR="001C5073" w:rsidRDefault="001C5073" w:rsidP="001C5073">
    <w:pPr>
      <w:pStyle w:val="Footer"/>
    </w:pPr>
    <w:r>
      <w:t>Contact:  Cecilia Pedrazzoli, VP of Sales</w:t>
    </w:r>
  </w:p>
  <w:p w:rsidR="001C5073" w:rsidRDefault="001C5073" w:rsidP="001C5073">
    <w:pPr>
      <w:pStyle w:val="Footer"/>
    </w:pPr>
    <w:r>
      <w:t>cecilia.pedrazzoli@qlx.com</w:t>
    </w:r>
  </w:p>
  <w:p w:rsidR="001C5073" w:rsidRDefault="001C5073" w:rsidP="001C5073">
    <w:pPr>
      <w:pStyle w:val="Footer"/>
    </w:pPr>
    <w:r>
      <w:t>(786) 344-6250</w:t>
    </w:r>
  </w:p>
  <w:p w:rsidR="001C5073" w:rsidRDefault="001C5073" w:rsidP="00832FAC">
    <w:pPr>
      <w:pStyle w:val="Footer"/>
      <w:tabs>
        <w:tab w:val="clear" w:pos="4680"/>
        <w:tab w:val="clear" w:pos="9360"/>
        <w:tab w:val="left" w:pos="2250"/>
      </w:tabs>
    </w:pPr>
    <w:r>
      <w:t>www.qlx.com</w:t>
    </w:r>
    <w:r w:rsidR="00832FAC">
      <w:tab/>
    </w:r>
  </w:p>
  <w:p w:rsidR="001C5073" w:rsidRDefault="001C5073">
    <w:pPr>
      <w:pStyle w:val="Footer"/>
    </w:pPr>
  </w:p>
  <w:p w:rsidR="001C5073" w:rsidRDefault="001C50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660" w:rsidRDefault="002E5660" w:rsidP="001C5073">
      <w:pPr>
        <w:spacing w:after="0" w:line="240" w:lineRule="auto"/>
      </w:pPr>
      <w:r>
        <w:separator/>
      </w:r>
    </w:p>
  </w:footnote>
  <w:footnote w:type="continuationSeparator" w:id="0">
    <w:p w:rsidR="002E5660" w:rsidRDefault="002E5660" w:rsidP="001C50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31678"/>
    <w:multiLevelType w:val="hybridMultilevel"/>
    <w:tmpl w:val="27BE2E6A"/>
    <w:lvl w:ilvl="0" w:tplc="3036D990">
      <w:numFmt w:val="bullet"/>
      <w:lvlText w:val="-"/>
      <w:lvlJc w:val="left"/>
      <w:pPr>
        <w:ind w:left="720" w:hanging="360"/>
      </w:pPr>
      <w:rPr>
        <w:rFonts w:ascii="Franklin Gothic Book" w:eastAsia="Times New Roman" w:hAnsi="Franklin Gothic Book"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580731"/>
    <w:multiLevelType w:val="hybridMultilevel"/>
    <w:tmpl w:val="2ED2858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24AF79BF"/>
    <w:multiLevelType w:val="hybridMultilevel"/>
    <w:tmpl w:val="BF88360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nsid w:val="66593ABD"/>
    <w:multiLevelType w:val="hybridMultilevel"/>
    <w:tmpl w:val="22D220C4"/>
    <w:lvl w:ilvl="0" w:tplc="4502D930">
      <w:start w:val="1"/>
      <w:numFmt w:val="bullet"/>
      <w:lvlText w:val="•"/>
      <w:lvlJc w:val="left"/>
      <w:pPr>
        <w:tabs>
          <w:tab w:val="num" w:pos="720"/>
        </w:tabs>
        <w:ind w:left="720" w:hanging="360"/>
      </w:pPr>
      <w:rPr>
        <w:rFonts w:ascii="Georgia" w:hAnsi="Georgia" w:hint="default"/>
      </w:rPr>
    </w:lvl>
    <w:lvl w:ilvl="1" w:tplc="96D4AE74">
      <w:start w:val="1168"/>
      <w:numFmt w:val="bullet"/>
      <w:lvlText w:val="▫"/>
      <w:lvlJc w:val="left"/>
      <w:pPr>
        <w:tabs>
          <w:tab w:val="num" w:pos="1440"/>
        </w:tabs>
        <w:ind w:left="1440" w:hanging="360"/>
      </w:pPr>
      <w:rPr>
        <w:rFonts w:ascii="Georgia" w:hAnsi="Georgia" w:hint="default"/>
      </w:rPr>
    </w:lvl>
    <w:lvl w:ilvl="2" w:tplc="2B1EAC7C" w:tentative="1">
      <w:start w:val="1"/>
      <w:numFmt w:val="bullet"/>
      <w:lvlText w:val="•"/>
      <w:lvlJc w:val="left"/>
      <w:pPr>
        <w:tabs>
          <w:tab w:val="num" w:pos="2160"/>
        </w:tabs>
        <w:ind w:left="2160" w:hanging="360"/>
      </w:pPr>
      <w:rPr>
        <w:rFonts w:ascii="Georgia" w:hAnsi="Georgia" w:hint="default"/>
      </w:rPr>
    </w:lvl>
    <w:lvl w:ilvl="3" w:tplc="C30AD5D4" w:tentative="1">
      <w:start w:val="1"/>
      <w:numFmt w:val="bullet"/>
      <w:lvlText w:val="•"/>
      <w:lvlJc w:val="left"/>
      <w:pPr>
        <w:tabs>
          <w:tab w:val="num" w:pos="2880"/>
        </w:tabs>
        <w:ind w:left="2880" w:hanging="360"/>
      </w:pPr>
      <w:rPr>
        <w:rFonts w:ascii="Georgia" w:hAnsi="Georgia" w:hint="default"/>
      </w:rPr>
    </w:lvl>
    <w:lvl w:ilvl="4" w:tplc="CFF0B44E" w:tentative="1">
      <w:start w:val="1"/>
      <w:numFmt w:val="bullet"/>
      <w:lvlText w:val="•"/>
      <w:lvlJc w:val="left"/>
      <w:pPr>
        <w:tabs>
          <w:tab w:val="num" w:pos="3600"/>
        </w:tabs>
        <w:ind w:left="3600" w:hanging="360"/>
      </w:pPr>
      <w:rPr>
        <w:rFonts w:ascii="Georgia" w:hAnsi="Georgia" w:hint="default"/>
      </w:rPr>
    </w:lvl>
    <w:lvl w:ilvl="5" w:tplc="94B08736" w:tentative="1">
      <w:start w:val="1"/>
      <w:numFmt w:val="bullet"/>
      <w:lvlText w:val="•"/>
      <w:lvlJc w:val="left"/>
      <w:pPr>
        <w:tabs>
          <w:tab w:val="num" w:pos="4320"/>
        </w:tabs>
        <w:ind w:left="4320" w:hanging="360"/>
      </w:pPr>
      <w:rPr>
        <w:rFonts w:ascii="Georgia" w:hAnsi="Georgia" w:hint="default"/>
      </w:rPr>
    </w:lvl>
    <w:lvl w:ilvl="6" w:tplc="C136CF00" w:tentative="1">
      <w:start w:val="1"/>
      <w:numFmt w:val="bullet"/>
      <w:lvlText w:val="•"/>
      <w:lvlJc w:val="left"/>
      <w:pPr>
        <w:tabs>
          <w:tab w:val="num" w:pos="5040"/>
        </w:tabs>
        <w:ind w:left="5040" w:hanging="360"/>
      </w:pPr>
      <w:rPr>
        <w:rFonts w:ascii="Georgia" w:hAnsi="Georgia" w:hint="default"/>
      </w:rPr>
    </w:lvl>
    <w:lvl w:ilvl="7" w:tplc="DF962C28" w:tentative="1">
      <w:start w:val="1"/>
      <w:numFmt w:val="bullet"/>
      <w:lvlText w:val="•"/>
      <w:lvlJc w:val="left"/>
      <w:pPr>
        <w:tabs>
          <w:tab w:val="num" w:pos="5760"/>
        </w:tabs>
        <w:ind w:left="5760" w:hanging="360"/>
      </w:pPr>
      <w:rPr>
        <w:rFonts w:ascii="Georgia" w:hAnsi="Georgia" w:hint="default"/>
      </w:rPr>
    </w:lvl>
    <w:lvl w:ilvl="8" w:tplc="5D2E47A4" w:tentative="1">
      <w:start w:val="1"/>
      <w:numFmt w:val="bullet"/>
      <w:lvlText w:val="•"/>
      <w:lvlJc w:val="left"/>
      <w:pPr>
        <w:tabs>
          <w:tab w:val="num" w:pos="6480"/>
        </w:tabs>
        <w:ind w:left="6480" w:hanging="360"/>
      </w:pPr>
      <w:rPr>
        <w:rFonts w:ascii="Georgia" w:hAnsi="Georgia"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4"/>
      <o:rules v:ext="edit">
        <o:r id="V:Rule1" type="connector" idref="#AutoShape 3"/>
      </o:rules>
    </o:shapelayout>
  </w:hdrShapeDefaults>
  <w:footnotePr>
    <w:footnote w:id="-1"/>
    <w:footnote w:id="0"/>
  </w:footnotePr>
  <w:endnotePr>
    <w:endnote w:id="-1"/>
    <w:endnote w:id="0"/>
  </w:endnotePr>
  <w:compat>
    <w:useFELayout/>
  </w:compat>
  <w:rsids>
    <w:rsidRoot w:val="00003404"/>
    <w:rsid w:val="00003404"/>
    <w:rsid w:val="000617B5"/>
    <w:rsid w:val="000E25F0"/>
    <w:rsid w:val="001519A2"/>
    <w:rsid w:val="001B359A"/>
    <w:rsid w:val="001C5073"/>
    <w:rsid w:val="001C5DFE"/>
    <w:rsid w:val="001D5D08"/>
    <w:rsid w:val="0020554B"/>
    <w:rsid w:val="00250EB7"/>
    <w:rsid w:val="002E5660"/>
    <w:rsid w:val="00306F7C"/>
    <w:rsid w:val="003301E6"/>
    <w:rsid w:val="00334AEA"/>
    <w:rsid w:val="004520A1"/>
    <w:rsid w:val="00455FFF"/>
    <w:rsid w:val="004C7D4C"/>
    <w:rsid w:val="004D1C86"/>
    <w:rsid w:val="005370C1"/>
    <w:rsid w:val="0057675A"/>
    <w:rsid w:val="005B30F9"/>
    <w:rsid w:val="005D5F6C"/>
    <w:rsid w:val="00661E53"/>
    <w:rsid w:val="006A619F"/>
    <w:rsid w:val="008052AA"/>
    <w:rsid w:val="00826695"/>
    <w:rsid w:val="00832FAC"/>
    <w:rsid w:val="0084593F"/>
    <w:rsid w:val="009B1ECD"/>
    <w:rsid w:val="009D7FC0"/>
    <w:rsid w:val="009E4CDC"/>
    <w:rsid w:val="00A4644C"/>
    <w:rsid w:val="00AD1832"/>
    <w:rsid w:val="00C80732"/>
    <w:rsid w:val="00D16F05"/>
    <w:rsid w:val="00D20F4A"/>
    <w:rsid w:val="00D72C7E"/>
    <w:rsid w:val="00DA0D33"/>
    <w:rsid w:val="00E4785D"/>
    <w:rsid w:val="00EC1602"/>
    <w:rsid w:val="00F81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D16F05"/>
    <w:pPr>
      <w:spacing w:before="120" w:after="60" w:line="240" w:lineRule="auto"/>
      <w:ind w:left="720"/>
      <w:contextualSpacing/>
      <w:jc w:val="both"/>
    </w:pPr>
    <w:rPr>
      <w:rFonts w:ascii="Franklin Gothic Book" w:eastAsia="Times New Roman" w:hAnsi="Franklin Gothic Book" w:cs="Tahoma"/>
      <w:sz w:val="24"/>
      <w:szCs w:val="24"/>
    </w:rPr>
  </w:style>
  <w:style w:type="paragraph" w:styleId="BalloonText">
    <w:name w:val="Balloon Text"/>
    <w:basedOn w:val="Normal"/>
    <w:link w:val="BalloonTextChar"/>
    <w:uiPriority w:val="99"/>
    <w:semiHidden/>
    <w:unhideWhenUsed/>
    <w:rsid w:val="005B30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0F9"/>
    <w:rPr>
      <w:rFonts w:ascii="Tahoma" w:hAnsi="Tahoma" w:cs="Tahoma"/>
      <w:sz w:val="16"/>
      <w:szCs w:val="16"/>
    </w:rPr>
  </w:style>
  <w:style w:type="paragraph" w:styleId="Header">
    <w:name w:val="header"/>
    <w:basedOn w:val="Normal"/>
    <w:link w:val="HeaderChar"/>
    <w:uiPriority w:val="99"/>
    <w:unhideWhenUsed/>
    <w:rsid w:val="001C50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073"/>
  </w:style>
  <w:style w:type="paragraph" w:styleId="Footer">
    <w:name w:val="footer"/>
    <w:basedOn w:val="Normal"/>
    <w:link w:val="FooterChar"/>
    <w:uiPriority w:val="99"/>
    <w:unhideWhenUsed/>
    <w:rsid w:val="001C50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0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D16F05"/>
    <w:pPr>
      <w:spacing w:before="120" w:after="60" w:line="240" w:lineRule="auto"/>
      <w:ind w:left="720"/>
      <w:contextualSpacing/>
      <w:jc w:val="both"/>
    </w:pPr>
    <w:rPr>
      <w:rFonts w:ascii="Franklin Gothic Book" w:eastAsia="Times New Roman" w:hAnsi="Franklin Gothic Book" w:cs="Tahoma"/>
      <w:sz w:val="24"/>
      <w:szCs w:val="24"/>
    </w:rPr>
  </w:style>
  <w:style w:type="paragraph" w:styleId="BalloonText">
    <w:name w:val="Balloon Text"/>
    <w:basedOn w:val="Normal"/>
    <w:link w:val="BalloonTextChar"/>
    <w:uiPriority w:val="99"/>
    <w:semiHidden/>
    <w:unhideWhenUsed/>
    <w:rsid w:val="005B30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0F9"/>
    <w:rPr>
      <w:rFonts w:ascii="Tahoma" w:hAnsi="Tahoma" w:cs="Tahoma"/>
      <w:sz w:val="16"/>
      <w:szCs w:val="16"/>
    </w:rPr>
  </w:style>
  <w:style w:type="paragraph" w:styleId="Header">
    <w:name w:val="header"/>
    <w:basedOn w:val="Normal"/>
    <w:link w:val="HeaderChar"/>
    <w:uiPriority w:val="99"/>
    <w:unhideWhenUsed/>
    <w:rsid w:val="001C50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073"/>
  </w:style>
  <w:style w:type="paragraph" w:styleId="Footer">
    <w:name w:val="footer"/>
    <w:basedOn w:val="Normal"/>
    <w:link w:val="FooterChar"/>
    <w:uiPriority w:val="99"/>
    <w:unhideWhenUsed/>
    <w:rsid w:val="001C50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073"/>
  </w:style>
</w:styles>
</file>

<file path=word/webSettings.xml><?xml version="1.0" encoding="utf-8"?>
<w:webSettings xmlns:r="http://schemas.openxmlformats.org/officeDocument/2006/relationships" xmlns:w="http://schemas.openxmlformats.org/wordprocessingml/2006/main">
  <w:divs>
    <w:div w:id="952205189">
      <w:bodyDiv w:val="1"/>
      <w:marLeft w:val="0"/>
      <w:marRight w:val="0"/>
      <w:marTop w:val="0"/>
      <w:marBottom w:val="0"/>
      <w:divBdr>
        <w:top w:val="none" w:sz="0" w:space="0" w:color="auto"/>
        <w:left w:val="none" w:sz="0" w:space="0" w:color="auto"/>
        <w:bottom w:val="none" w:sz="0" w:space="0" w:color="auto"/>
        <w:right w:val="none" w:sz="0" w:space="0" w:color="auto"/>
      </w:divBdr>
      <w:divsChild>
        <w:div w:id="1563714440">
          <w:marLeft w:val="576"/>
          <w:marRight w:val="0"/>
          <w:marTop w:val="60"/>
          <w:marBottom w:val="0"/>
          <w:divBdr>
            <w:top w:val="none" w:sz="0" w:space="0" w:color="auto"/>
            <w:left w:val="none" w:sz="0" w:space="0" w:color="auto"/>
            <w:bottom w:val="none" w:sz="0" w:space="0" w:color="auto"/>
            <w:right w:val="none" w:sz="0" w:space="0" w:color="auto"/>
          </w:divBdr>
        </w:div>
        <w:div w:id="1882522035">
          <w:marLeft w:val="1037"/>
          <w:marRight w:val="0"/>
          <w:marTop w:val="60"/>
          <w:marBottom w:val="0"/>
          <w:divBdr>
            <w:top w:val="none" w:sz="0" w:space="0" w:color="auto"/>
            <w:left w:val="none" w:sz="0" w:space="0" w:color="auto"/>
            <w:bottom w:val="none" w:sz="0" w:space="0" w:color="auto"/>
            <w:right w:val="none" w:sz="0" w:space="0" w:color="auto"/>
          </w:divBdr>
        </w:div>
        <w:div w:id="1110852331">
          <w:marLeft w:val="576"/>
          <w:marRight w:val="0"/>
          <w:marTop w:val="60"/>
          <w:marBottom w:val="0"/>
          <w:divBdr>
            <w:top w:val="none" w:sz="0" w:space="0" w:color="auto"/>
            <w:left w:val="none" w:sz="0" w:space="0" w:color="auto"/>
            <w:bottom w:val="none" w:sz="0" w:space="0" w:color="auto"/>
            <w:right w:val="none" w:sz="0" w:space="0" w:color="auto"/>
          </w:divBdr>
        </w:div>
        <w:div w:id="1038354995">
          <w:marLeft w:val="1037"/>
          <w:marRight w:val="0"/>
          <w:marTop w:val="60"/>
          <w:marBottom w:val="0"/>
          <w:divBdr>
            <w:top w:val="none" w:sz="0" w:space="0" w:color="auto"/>
            <w:left w:val="none" w:sz="0" w:space="0" w:color="auto"/>
            <w:bottom w:val="none" w:sz="0" w:space="0" w:color="auto"/>
            <w:right w:val="none" w:sz="0" w:space="0" w:color="auto"/>
          </w:divBdr>
        </w:div>
        <w:div w:id="1290360986">
          <w:marLeft w:val="1037"/>
          <w:marRight w:val="0"/>
          <w:marTop w:val="60"/>
          <w:marBottom w:val="0"/>
          <w:divBdr>
            <w:top w:val="none" w:sz="0" w:space="0" w:color="auto"/>
            <w:left w:val="none" w:sz="0" w:space="0" w:color="auto"/>
            <w:bottom w:val="none" w:sz="0" w:space="0" w:color="auto"/>
            <w:right w:val="none" w:sz="0" w:space="0" w:color="auto"/>
          </w:divBdr>
        </w:div>
        <w:div w:id="981622216">
          <w:marLeft w:val="1037"/>
          <w:marRight w:val="0"/>
          <w:marTop w:val="60"/>
          <w:marBottom w:val="0"/>
          <w:divBdr>
            <w:top w:val="none" w:sz="0" w:space="0" w:color="auto"/>
            <w:left w:val="none" w:sz="0" w:space="0" w:color="auto"/>
            <w:bottom w:val="none" w:sz="0" w:space="0" w:color="auto"/>
            <w:right w:val="none" w:sz="0" w:space="0" w:color="auto"/>
          </w:divBdr>
        </w:div>
        <w:div w:id="1384211621">
          <w:marLeft w:val="1037"/>
          <w:marRight w:val="0"/>
          <w:marTop w:val="60"/>
          <w:marBottom w:val="0"/>
          <w:divBdr>
            <w:top w:val="none" w:sz="0" w:space="0" w:color="auto"/>
            <w:left w:val="none" w:sz="0" w:space="0" w:color="auto"/>
            <w:bottom w:val="none" w:sz="0" w:space="0" w:color="auto"/>
            <w:right w:val="none" w:sz="0" w:space="0" w:color="auto"/>
          </w:divBdr>
        </w:div>
        <w:div w:id="1083600394">
          <w:marLeft w:val="576"/>
          <w:marRight w:val="0"/>
          <w:marTop w:val="60"/>
          <w:marBottom w:val="0"/>
          <w:divBdr>
            <w:top w:val="none" w:sz="0" w:space="0" w:color="auto"/>
            <w:left w:val="none" w:sz="0" w:space="0" w:color="auto"/>
            <w:bottom w:val="none" w:sz="0" w:space="0" w:color="auto"/>
            <w:right w:val="none" w:sz="0" w:space="0" w:color="auto"/>
          </w:divBdr>
        </w:div>
        <w:div w:id="198859977">
          <w:marLeft w:val="576"/>
          <w:marRight w:val="0"/>
          <w:marTop w:val="60"/>
          <w:marBottom w:val="0"/>
          <w:divBdr>
            <w:top w:val="none" w:sz="0" w:space="0" w:color="auto"/>
            <w:left w:val="none" w:sz="0" w:space="0" w:color="auto"/>
            <w:bottom w:val="none" w:sz="0" w:space="0" w:color="auto"/>
            <w:right w:val="none" w:sz="0" w:space="0" w:color="auto"/>
          </w:divBdr>
        </w:div>
        <w:div w:id="468589825">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4009D-FFCA-46F1-BB71-52898E7DB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2</cp:revision>
  <cp:lastPrinted>2014-01-07T13:45:00Z</cp:lastPrinted>
  <dcterms:created xsi:type="dcterms:W3CDTF">2014-01-13T14:44:00Z</dcterms:created>
  <dcterms:modified xsi:type="dcterms:W3CDTF">2014-01-13T14:44:00Z</dcterms:modified>
</cp:coreProperties>
</file>